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  <w:shd w:val="clear" w:color="auto" w:fill="auto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4C905F6B" w14:textId="0EC890D1" w:rsidR="00541C07" w:rsidRPr="00435E7E" w:rsidRDefault="00555D7E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5D7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疲労試験機（油圧源・制御装置）</w:t>
            </w:r>
            <w:r w:rsidR="00543B22" w:rsidRPr="00543B2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  <w:shd w:val="clear" w:color="auto" w:fill="auto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55D7E"/>
    <w:rsid w:val="00591223"/>
    <w:rsid w:val="00614173"/>
    <w:rsid w:val="00625761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46ADB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B52E8"/>
    <w:rsid w:val="00CD0EFE"/>
    <w:rsid w:val="00CD33B6"/>
    <w:rsid w:val="00CD616B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41B9A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2025-07-11T02:18:00Z</dcterms:modified>
</cp:coreProperties>
</file>