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6E8FA235" w:rsidR="00541C07" w:rsidRPr="00CA0558" w:rsidRDefault="00894FED" w:rsidP="00A65542">
            <w:pPr>
              <w:rPr>
                <w:rFonts w:hAnsi="ＭＳ 明朝"/>
                <w:sz w:val="21"/>
                <w:szCs w:val="21"/>
              </w:rPr>
            </w:pPr>
            <w:r w:rsidRPr="00894FE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ハイコンテントイメージング装置の購入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5475"/>
    <w:rsid w:val="001F7268"/>
    <w:rsid w:val="00201F7D"/>
    <w:rsid w:val="002428DB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2E6"/>
    <w:rsid w:val="00384D21"/>
    <w:rsid w:val="0039280C"/>
    <w:rsid w:val="003B0514"/>
    <w:rsid w:val="003D13CD"/>
    <w:rsid w:val="003E0C45"/>
    <w:rsid w:val="003F2C3B"/>
    <w:rsid w:val="00420C56"/>
    <w:rsid w:val="004414AE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94FED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3A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D616B"/>
    <w:rsid w:val="00CF2A21"/>
    <w:rsid w:val="00D130DC"/>
    <w:rsid w:val="00D168E8"/>
    <w:rsid w:val="00D170C0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56A1D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2025-08-07T04:55:00Z</dcterms:modified>
</cp:coreProperties>
</file>